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9565D">
      <w:pPr>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附件</w:t>
      </w:r>
      <w:r>
        <w:rPr>
          <w:rFonts w:hint="eastAsia" w:ascii="仿宋" w:hAnsi="仿宋" w:eastAsia="仿宋" w:cs="仿宋"/>
          <w:color w:val="auto"/>
          <w:sz w:val="32"/>
          <w:szCs w:val="32"/>
          <w:highlight w:val="none"/>
          <w:lang w:val="en-US" w:eastAsia="zh-CN"/>
        </w:rPr>
        <w:t>1:</w:t>
      </w:r>
    </w:p>
    <w:p w14:paraId="3425A9BE">
      <w:pPr>
        <w:pStyle w:val="12"/>
        <w:rPr>
          <w:rFonts w:hint="default" w:ascii="宋体" w:hAnsi="宋体" w:eastAsia="宋体" w:cs="宋体"/>
          <w:b/>
          <w:bCs/>
          <w:color w:val="auto"/>
          <w:kern w:val="36"/>
          <w:szCs w:val="44"/>
          <w:highlight w:val="none"/>
          <w:lang w:val="en-AU"/>
        </w:rPr>
      </w:pPr>
      <w:r>
        <w:rPr>
          <w:rFonts w:ascii="宋体" w:hAnsi="宋体" w:eastAsia="宋体" w:cs="宋体"/>
          <w:b/>
          <w:bCs/>
          <w:color w:val="auto"/>
          <w:kern w:val="36"/>
          <w:szCs w:val="44"/>
          <w:highlight w:val="none"/>
          <w:lang w:val="en-AU"/>
        </w:rPr>
        <w:t>第四届全国新能源汽车关键技术技能大赛</w:t>
      </w:r>
    </w:p>
    <w:p w14:paraId="39E779D7">
      <w:pPr>
        <w:pStyle w:val="12"/>
        <w:rPr>
          <w:rFonts w:hint="default" w:ascii="宋体" w:hAnsi="宋体" w:eastAsia="宋体" w:cs="宋体"/>
          <w:b/>
          <w:bCs/>
          <w:color w:val="auto"/>
          <w:kern w:val="36"/>
          <w:szCs w:val="44"/>
          <w:highlight w:val="none"/>
          <w:lang w:val="en-AU"/>
        </w:rPr>
      </w:pPr>
      <w:r>
        <w:rPr>
          <w:rFonts w:ascii="宋体" w:hAnsi="宋体" w:eastAsia="宋体" w:cs="宋体"/>
          <w:b/>
          <w:bCs/>
          <w:color w:val="auto"/>
          <w:kern w:val="36"/>
          <w:szCs w:val="44"/>
          <w:highlight w:val="none"/>
          <w:lang w:val="en-AU"/>
        </w:rPr>
        <w:t>广东省选拔赛汽车零部件装调工</w:t>
      </w:r>
    </w:p>
    <w:p w14:paraId="791F342C">
      <w:pPr>
        <w:pStyle w:val="12"/>
        <w:rPr>
          <w:rFonts w:hint="default" w:ascii="宋体" w:hAnsi="宋体" w:eastAsia="宋体" w:cs="宋体"/>
          <w:b/>
          <w:bCs/>
          <w:color w:val="auto"/>
          <w:kern w:val="36"/>
          <w:szCs w:val="44"/>
          <w:highlight w:val="none"/>
          <w:lang w:val="en-AU"/>
        </w:rPr>
      </w:pPr>
      <w:r>
        <w:rPr>
          <w:rFonts w:ascii="宋体" w:hAnsi="宋体" w:eastAsia="宋体" w:cs="宋体"/>
          <w:b/>
          <w:bCs/>
          <w:color w:val="auto"/>
          <w:kern w:val="36"/>
          <w:szCs w:val="44"/>
          <w:highlight w:val="none"/>
          <w:lang w:val="en-AU"/>
        </w:rPr>
        <w:t>（汽车电动化技术方向）赛项</w:t>
      </w:r>
    </w:p>
    <w:p w14:paraId="75F89B57">
      <w:pPr>
        <w:pStyle w:val="12"/>
        <w:rPr>
          <w:rFonts w:hint="default" w:ascii="宋体" w:hAnsi="宋体" w:eastAsia="宋体" w:cs="宋体"/>
          <w:b/>
          <w:bCs/>
          <w:color w:val="auto"/>
          <w:kern w:val="36"/>
          <w:szCs w:val="44"/>
          <w:highlight w:val="none"/>
          <w:lang w:val="en-AU"/>
        </w:rPr>
      </w:pPr>
      <w:r>
        <w:rPr>
          <w:rFonts w:ascii="宋体" w:hAnsi="宋体" w:eastAsia="宋体" w:cs="宋体"/>
          <w:b/>
          <w:bCs/>
          <w:color w:val="auto"/>
          <w:kern w:val="36"/>
          <w:szCs w:val="44"/>
          <w:highlight w:val="none"/>
          <w:lang w:val="en-AU"/>
        </w:rPr>
        <w:t>实</w:t>
      </w:r>
      <w:r>
        <w:rPr>
          <w:rFonts w:ascii="宋体" w:hAnsi="宋体" w:eastAsia="宋体" w:cs="宋体"/>
          <w:b/>
          <w:bCs/>
          <w:color w:val="auto"/>
          <w:kern w:val="36"/>
          <w:szCs w:val="44"/>
          <w:highlight w:val="none"/>
          <w:lang w:val="en-US"/>
        </w:rPr>
        <w:t xml:space="preserve"> </w:t>
      </w:r>
      <w:r>
        <w:rPr>
          <w:rFonts w:ascii="宋体" w:hAnsi="宋体" w:eastAsia="宋体" w:cs="宋体"/>
          <w:b/>
          <w:bCs/>
          <w:color w:val="auto"/>
          <w:kern w:val="36"/>
          <w:szCs w:val="44"/>
          <w:highlight w:val="none"/>
          <w:lang w:val="en-AU"/>
        </w:rPr>
        <w:t>施</w:t>
      </w:r>
      <w:r>
        <w:rPr>
          <w:rFonts w:ascii="宋体" w:hAnsi="宋体" w:eastAsia="宋体" w:cs="宋体"/>
          <w:b/>
          <w:bCs/>
          <w:color w:val="auto"/>
          <w:kern w:val="36"/>
          <w:szCs w:val="44"/>
          <w:highlight w:val="none"/>
          <w:lang w:val="en-US"/>
        </w:rPr>
        <w:t xml:space="preserve"> </w:t>
      </w:r>
      <w:r>
        <w:rPr>
          <w:rFonts w:ascii="宋体" w:hAnsi="宋体" w:eastAsia="宋体" w:cs="宋体"/>
          <w:b/>
          <w:bCs/>
          <w:color w:val="auto"/>
          <w:kern w:val="36"/>
          <w:szCs w:val="44"/>
          <w:highlight w:val="none"/>
          <w:lang w:val="en-AU"/>
        </w:rPr>
        <w:t>方</w:t>
      </w:r>
      <w:r>
        <w:rPr>
          <w:rFonts w:ascii="宋体" w:hAnsi="宋体" w:eastAsia="宋体" w:cs="宋体"/>
          <w:b/>
          <w:bCs/>
          <w:color w:val="auto"/>
          <w:kern w:val="36"/>
          <w:szCs w:val="44"/>
          <w:highlight w:val="none"/>
          <w:lang w:val="en-US"/>
        </w:rPr>
        <w:t xml:space="preserve"> </w:t>
      </w:r>
      <w:r>
        <w:rPr>
          <w:rFonts w:ascii="宋体" w:hAnsi="宋体" w:eastAsia="宋体" w:cs="宋体"/>
          <w:b/>
          <w:bCs/>
          <w:color w:val="auto"/>
          <w:kern w:val="36"/>
          <w:szCs w:val="44"/>
          <w:highlight w:val="none"/>
          <w:lang w:val="en-AU"/>
        </w:rPr>
        <w:t>案</w:t>
      </w:r>
    </w:p>
    <w:p w14:paraId="1FB168F8">
      <w:pPr>
        <w:pStyle w:val="12"/>
        <w:rPr>
          <w:rFonts w:hint="default" w:ascii="宋体" w:hAnsi="宋体" w:eastAsia="宋体" w:cs="宋体"/>
          <w:b/>
          <w:bCs/>
          <w:color w:val="auto"/>
          <w:kern w:val="36"/>
          <w:szCs w:val="44"/>
          <w:highlight w:val="none"/>
          <w:lang w:val="en-AU"/>
        </w:rPr>
      </w:pPr>
    </w:p>
    <w:p w14:paraId="20AB57E4">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根据人力资源和社会保障部《关于组织开展2024年全国行业职业技能竞赛的通知》(人社部函〔2024〕41号)、</w:t>
      </w:r>
      <w:r>
        <w:rPr>
          <w:rFonts w:hint="eastAsia" w:ascii="仿宋" w:hAnsi="仿宋" w:eastAsia="仿宋" w:cs="仿宋"/>
          <w:bCs/>
          <w:color w:val="auto"/>
          <w:sz w:val="32"/>
          <w:szCs w:val="32"/>
          <w:highlight w:val="none"/>
        </w:rPr>
        <w:t>中国机械工业联合会《</w:t>
      </w:r>
      <w:r>
        <w:rPr>
          <w:rFonts w:ascii="仿宋" w:hAnsi="仿宋" w:eastAsia="仿宋" w:cs="仿宋"/>
          <w:bCs/>
          <w:color w:val="auto"/>
          <w:sz w:val="32"/>
          <w:szCs w:val="32"/>
          <w:highlight w:val="none"/>
        </w:rPr>
        <w:t>关于举办2024年全国行业职业技能竞赛——第四届全国新能源汽车关键技术技能大赛的通知</w:t>
      </w:r>
      <w:r>
        <w:rPr>
          <w:rFonts w:hint="eastAsia" w:ascii="微软雅黑" w:hAnsi="微软雅黑" w:eastAsia="微软雅黑" w:cs="微软雅黑"/>
          <w:color w:val="auto"/>
          <w:sz w:val="27"/>
          <w:szCs w:val="27"/>
          <w:highlight w:val="none"/>
          <w:shd w:val="clear" w:color="auto" w:fill="FFFFFF"/>
        </w:rPr>
        <w:t>》</w:t>
      </w:r>
      <w:r>
        <w:rPr>
          <w:rFonts w:hint="eastAsia" w:ascii="仿宋" w:hAnsi="仿宋" w:eastAsia="仿宋" w:cs="仿宋"/>
          <w:bCs/>
          <w:color w:val="auto"/>
          <w:sz w:val="32"/>
          <w:szCs w:val="32"/>
          <w:highlight w:val="none"/>
        </w:rPr>
        <w:t>（机械培〔2024〕238号）及《</w:t>
      </w:r>
      <w:r>
        <w:rPr>
          <w:rFonts w:ascii="仿宋" w:hAnsi="仿宋" w:eastAsia="仿宋" w:cs="仿宋"/>
          <w:bCs/>
          <w:color w:val="auto"/>
          <w:sz w:val="32"/>
          <w:szCs w:val="32"/>
          <w:highlight w:val="none"/>
        </w:rPr>
        <w:t>关于举办2024年全国行业职业技能竞赛 ——第四届全国新能源汽车关键技术技能 大赛决赛有关事项的通知</w:t>
      </w:r>
      <w:r>
        <w:rPr>
          <w:rFonts w:hint="eastAsia" w:ascii="仿宋" w:hAnsi="仿宋" w:eastAsia="仿宋" w:cs="仿宋"/>
          <w:bCs/>
          <w:color w:val="auto"/>
          <w:sz w:val="32"/>
          <w:szCs w:val="32"/>
          <w:highlight w:val="none"/>
        </w:rPr>
        <w:t>》（</w:t>
      </w:r>
      <w:r>
        <w:rPr>
          <w:rFonts w:ascii="仿宋" w:hAnsi="仿宋" w:eastAsia="仿宋" w:cs="仿宋"/>
          <w:bCs/>
          <w:color w:val="auto"/>
          <w:sz w:val="32"/>
          <w:szCs w:val="32"/>
          <w:highlight w:val="none"/>
        </w:rPr>
        <w:t>机械培</w:t>
      </w:r>
      <w:r>
        <w:rPr>
          <w:rFonts w:hint="eastAsia" w:ascii="仿宋" w:hAnsi="仿宋" w:eastAsia="仿宋" w:cs="仿宋"/>
          <w:bCs/>
          <w:color w:val="auto"/>
          <w:sz w:val="32"/>
          <w:szCs w:val="32"/>
          <w:highlight w:val="none"/>
        </w:rPr>
        <w:t>函〔2024〕15号）、</w:t>
      </w:r>
      <w:r>
        <w:rPr>
          <w:rFonts w:hint="eastAsia" w:ascii="仿宋" w:hAnsi="仿宋" w:eastAsia="仿宋" w:cs="仿宋"/>
          <w:color w:val="auto"/>
          <w:sz w:val="32"/>
          <w:szCs w:val="32"/>
          <w:highlight w:val="none"/>
        </w:rPr>
        <w:t>广东省机械行业协会《关于做好第四届全国新能源汽车关键技术技能大赛广东省选拔赛的通知》(粤机协函字〔2024〕10 号)，举办</w:t>
      </w:r>
      <w:r>
        <w:rPr>
          <w:rFonts w:hint="eastAsia" w:ascii="仿宋" w:hAnsi="仿宋" w:eastAsia="仿宋" w:cs="仿宋"/>
          <w:color w:val="auto"/>
          <w:sz w:val="32"/>
          <w:szCs w:val="32"/>
          <w:highlight w:val="none"/>
          <w:lang w:val="en-AU"/>
        </w:rPr>
        <w:t>第四届全国新能源汽车关键技术技能大赛广东省选拔赛汽车零部件装调工（汽车电动化技术方向）赛项</w:t>
      </w:r>
      <w:r>
        <w:rPr>
          <w:rFonts w:hint="eastAsia" w:ascii="仿宋" w:hAnsi="仿宋" w:eastAsia="仿宋" w:cs="仿宋"/>
          <w:color w:val="auto"/>
          <w:sz w:val="32"/>
          <w:szCs w:val="32"/>
          <w:highlight w:val="none"/>
        </w:rPr>
        <w:t>。为做好竞赛的组织实施，确保竞赛取得圆满成功，特制定本竞赛方案。</w:t>
      </w:r>
    </w:p>
    <w:p w14:paraId="0D1FFD3C">
      <w:pPr>
        <w:ind w:firstLine="640" w:firstLineChars="200"/>
        <w:rPr>
          <w:rFonts w:ascii="仿宋" w:hAnsi="仿宋" w:eastAsia="仿宋" w:cs="仿宋"/>
          <w:color w:val="auto"/>
          <w:sz w:val="32"/>
          <w:szCs w:val="32"/>
          <w:highlight w:val="none"/>
        </w:rPr>
      </w:pPr>
      <w:bookmarkStart w:id="0" w:name="_Toc15208_WPSOffice_Level1"/>
      <w:r>
        <w:rPr>
          <w:rFonts w:hint="eastAsia" w:ascii="黑体" w:hAnsi="黑体" w:eastAsia="黑体" w:cs="黑体"/>
          <w:color w:val="auto"/>
          <w:sz w:val="32"/>
          <w:szCs w:val="32"/>
          <w:highlight w:val="none"/>
        </w:rPr>
        <w:t>一、</w:t>
      </w:r>
      <w:bookmarkEnd w:id="0"/>
      <w:r>
        <w:rPr>
          <w:rFonts w:hint="eastAsia" w:ascii="黑体" w:hAnsi="黑体" w:eastAsia="黑体" w:cs="黑体"/>
          <w:color w:val="auto"/>
          <w:sz w:val="32"/>
          <w:szCs w:val="32"/>
          <w:highlight w:val="none"/>
        </w:rPr>
        <w:t>办赛目标</w:t>
      </w:r>
    </w:p>
    <w:p w14:paraId="703C97A7">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为全面贯彻落实党的二十大精神，深入学习贯彻习近平总书记视察广东重要讲话、重要指示精神，大力弘扬劳模精神、劳动精神、工匠精神，组织动员全省广大职工认真落实省委“1310”具体部署，为充分推进汽车新技术、新能源汽车关键技能、加快培养汽车类高素质技能人才、能工巧匠和大国工匠。</w:t>
      </w:r>
    </w:p>
    <w:p w14:paraId="3008702A">
      <w:pPr>
        <w:ind w:firstLine="640" w:firstLineChars="200"/>
        <w:rPr>
          <w:rFonts w:ascii="黑体" w:hAnsi="黑体" w:eastAsia="黑体" w:cs="黑体"/>
          <w:color w:val="auto"/>
          <w:sz w:val="32"/>
          <w:szCs w:val="32"/>
          <w:highlight w:val="none"/>
        </w:rPr>
      </w:pPr>
      <w:bookmarkStart w:id="1" w:name="_Toc14171_WPSOffice_Level1"/>
      <w:r>
        <w:rPr>
          <w:rFonts w:hint="eastAsia" w:ascii="黑体" w:hAnsi="黑体" w:eastAsia="黑体" w:cs="黑体"/>
          <w:color w:val="auto"/>
          <w:sz w:val="32"/>
          <w:szCs w:val="32"/>
          <w:highlight w:val="none"/>
        </w:rPr>
        <w:t>二、组织机构</w:t>
      </w:r>
      <w:bookmarkEnd w:id="1"/>
    </w:p>
    <w:p w14:paraId="5AC4B6E4">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（一）指导单位</w:t>
      </w:r>
    </w:p>
    <w:p w14:paraId="2C778E9D">
      <w:pPr>
        <w:ind w:firstLine="1280" w:firstLineChars="4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  广东省人力资源和社会保障厅</w:t>
      </w:r>
    </w:p>
    <w:p w14:paraId="7EDA7363">
      <w:pPr>
        <w:ind w:firstLine="1600" w:firstLineChars="5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广东省总工会</w:t>
      </w:r>
    </w:p>
    <w:p w14:paraId="75560FD0">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（二）主办单位</w:t>
      </w:r>
    </w:p>
    <w:p w14:paraId="17D5EF36">
      <w:pPr>
        <w:ind w:firstLine="1600" w:firstLineChars="5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广东省机械行业协会</w:t>
      </w:r>
    </w:p>
    <w:p w14:paraId="20F568C5">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（三）承办单位</w:t>
      </w:r>
    </w:p>
    <w:p w14:paraId="6DFD60D6">
      <w:pPr>
        <w:ind w:firstLine="1600" w:firstLineChars="5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广州市交通技师学院</w:t>
      </w:r>
    </w:p>
    <w:p w14:paraId="56D2210A">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（四）支持单位</w:t>
      </w:r>
    </w:p>
    <w:p w14:paraId="01F5BD8A">
      <w:pPr>
        <w:ind w:firstLine="1600" w:firstLineChars="5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行云新能源科技（深圳）有限公司</w:t>
      </w:r>
    </w:p>
    <w:p w14:paraId="69E223CD">
      <w:pPr>
        <w:pStyle w:val="9"/>
        <w:rPr>
          <w:rFonts w:ascii="仿宋" w:hAnsi="仿宋" w:eastAsia="仿宋" w:cs="仿宋"/>
          <w:color w:val="auto"/>
          <w:highlight w:val="none"/>
        </w:rPr>
      </w:pPr>
    </w:p>
    <w:p w14:paraId="467765AF">
      <w:pPr>
        <w:ind w:firstLine="640" w:firstLineChars="200"/>
        <w:rPr>
          <w:rFonts w:ascii="黑体" w:hAnsi="黑体" w:eastAsia="黑体" w:cs="黑体"/>
          <w:color w:val="auto"/>
          <w:sz w:val="32"/>
          <w:szCs w:val="32"/>
          <w:highlight w:val="none"/>
        </w:rPr>
      </w:pPr>
      <w:bookmarkStart w:id="2" w:name="_Toc7024_WPSOffice_Level1"/>
      <w:r>
        <w:rPr>
          <w:rFonts w:hint="eastAsia" w:ascii="黑体" w:hAnsi="黑体" w:eastAsia="黑体" w:cs="黑体"/>
          <w:color w:val="auto"/>
          <w:sz w:val="32"/>
          <w:szCs w:val="32"/>
          <w:highlight w:val="none"/>
        </w:rPr>
        <w:t>三、竞赛项目及相关安排</w:t>
      </w:r>
      <w:bookmarkEnd w:id="2"/>
    </w:p>
    <w:p w14:paraId="4D6FBD81">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（一）竞赛项目及标准</w:t>
      </w:r>
    </w:p>
    <w:p w14:paraId="3D78A56C">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1.竞赛项目：汽车零部件装调工(汽车电动化技术方向)</w:t>
      </w:r>
    </w:p>
    <w:p w14:paraId="5A894840">
      <w:pPr>
        <w:ind w:firstLine="640" w:firstLineChars="200"/>
        <w:rPr>
          <w:rFonts w:ascii="仿宋" w:hAnsi="仿宋" w:eastAsia="仿宋" w:cs="仿宋"/>
          <w:color w:val="auto"/>
          <w:highlight w:val="none"/>
        </w:rPr>
      </w:pPr>
      <w:r>
        <w:rPr>
          <w:rFonts w:hint="eastAsia" w:ascii="仿宋" w:hAnsi="仿宋" w:eastAsia="仿宋" w:cs="仿宋"/>
          <w:color w:val="auto"/>
          <w:sz w:val="32"/>
          <w:szCs w:val="32"/>
          <w:highlight w:val="none"/>
        </w:rPr>
        <w:t>2.竞赛标准：组委会技术工作委员会组织有关专家参照现行《汽车维修工国家职业技能标准》、《汽车（拖拉机）装配工国家职业技能标准》、《新能源汽车维修维护技术要求》和《机动车检验工国家职业技能标准》要求，结合企业生产实际和新能源汽车电控技术发展现状，借鉴世界技能大赛命题内容和考核评价方法组织统一命题。</w:t>
      </w:r>
    </w:p>
    <w:p w14:paraId="3A2E0237">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（二）竞赛赛制及组别</w:t>
      </w:r>
    </w:p>
    <w:p w14:paraId="7284922F">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大赛设</w:t>
      </w:r>
      <w:r>
        <w:rPr>
          <w:rFonts w:hint="eastAsia" w:ascii="仿宋" w:hAnsi="仿宋" w:eastAsia="仿宋" w:cs="仿宋"/>
          <w:color w:val="auto"/>
          <w:sz w:val="32"/>
          <w:szCs w:val="32"/>
          <w:highlight w:val="none"/>
          <w:lang w:val="en-AU"/>
        </w:rPr>
        <w:t>汽车零部件装调工（汽车电动化技术方向），</w:t>
      </w:r>
      <w:r>
        <w:rPr>
          <w:rFonts w:hint="eastAsia" w:ascii="仿宋" w:hAnsi="仿宋" w:eastAsia="仿宋" w:cs="仿宋"/>
          <w:color w:val="auto"/>
          <w:sz w:val="32"/>
          <w:szCs w:val="32"/>
          <w:highlight w:val="none"/>
        </w:rPr>
        <w:t>本次竞赛为双人团体赛，竞赛分为学生组和职工组（含教师组）。如学生组或职工组报名人数超过60人时，实操考核取理论考核前60名（30组）选手进入实操考核。</w:t>
      </w:r>
    </w:p>
    <w:p w14:paraId="0A78A290">
      <w:pPr>
        <w:spacing w:line="560" w:lineRule="exact"/>
        <w:ind w:firstLine="640" w:firstLineChars="200"/>
        <w:rPr>
          <w:rFonts w:hint="default" w:ascii="仿宋" w:hAnsi="仿宋" w:eastAsia="仿宋" w:cs="仿宋_GB2312"/>
          <w:color w:val="auto"/>
          <w:sz w:val="32"/>
          <w:szCs w:val="32"/>
          <w:highlight w:val="none"/>
          <w:lang w:val="en-US" w:eastAsia="zh-CN"/>
        </w:rPr>
      </w:pPr>
      <w:r>
        <w:rPr>
          <w:rFonts w:hint="eastAsia" w:ascii="仿宋" w:hAnsi="仿宋" w:eastAsia="仿宋" w:cs="仿宋_GB2312"/>
          <w:color w:val="auto"/>
          <w:sz w:val="32"/>
          <w:szCs w:val="32"/>
          <w:highlight w:val="none"/>
          <w:lang w:val="en-US" w:eastAsia="en-US"/>
        </w:rPr>
        <w:t>团队排名按团体总成绩高低排名;个人排名先按团体成绩高低排名、再按团队内个人理论成绩高低排名</w:t>
      </w:r>
      <w:r>
        <w:rPr>
          <w:rFonts w:hint="eastAsia" w:ascii="仿宋" w:hAnsi="仿宋" w:eastAsia="仿宋" w:cs="仿宋_GB2312"/>
          <w:color w:val="auto"/>
          <w:sz w:val="32"/>
          <w:szCs w:val="32"/>
          <w:highlight w:val="none"/>
          <w:lang w:val="en-US" w:eastAsia="zh-CN"/>
        </w:rPr>
        <w:t>。其中，</w:t>
      </w:r>
    </w:p>
    <w:p w14:paraId="4F27C3D4">
      <w:pPr>
        <w:spacing w:line="560" w:lineRule="exact"/>
        <w:ind w:firstLine="640" w:firstLineChars="200"/>
        <w:rPr>
          <w:rFonts w:hint="eastAsia" w:ascii="仿宋" w:hAnsi="仿宋" w:eastAsia="仿宋" w:cs="仿宋_GB2312"/>
          <w:color w:val="auto"/>
          <w:sz w:val="32"/>
          <w:szCs w:val="32"/>
          <w:highlight w:val="none"/>
          <w:lang w:val="en-US" w:eastAsia="zh-CN"/>
        </w:rPr>
      </w:pPr>
      <w:r>
        <w:rPr>
          <w:rFonts w:hint="eastAsia" w:ascii="仿宋" w:hAnsi="仿宋" w:eastAsia="仿宋" w:cs="仿宋_GB2312"/>
          <w:color w:val="auto"/>
          <w:sz w:val="32"/>
          <w:szCs w:val="32"/>
          <w:highlight w:val="none"/>
          <w:lang w:val="en-US" w:eastAsia="zh-CN"/>
        </w:rPr>
        <w:t>个人</w:t>
      </w:r>
      <w:r>
        <w:rPr>
          <w:rFonts w:hint="eastAsia" w:ascii="仿宋" w:hAnsi="仿宋" w:eastAsia="仿宋" w:cs="仿宋_GB2312"/>
          <w:color w:val="auto"/>
          <w:sz w:val="32"/>
          <w:szCs w:val="32"/>
          <w:highlight w:val="none"/>
          <w:lang w:val="zh-TW" w:eastAsia="en-US"/>
        </w:rPr>
        <w:t>竞赛总成绩=理论知识考核成绩</w:t>
      </w:r>
      <w:r>
        <w:rPr>
          <w:rFonts w:hint="eastAsia" w:ascii="仿宋" w:hAnsi="仿宋" w:eastAsia="仿宋" w:cs="仿宋_GB2312"/>
          <w:color w:val="auto"/>
          <w:sz w:val="32"/>
          <w:szCs w:val="32"/>
          <w:highlight w:val="none"/>
          <w:lang w:val="en-US" w:eastAsia="zh-CN"/>
        </w:rPr>
        <w:t>*20</w:t>
      </w:r>
      <w:r>
        <w:rPr>
          <w:rFonts w:hint="eastAsia" w:ascii="仿宋" w:hAnsi="仿宋" w:eastAsia="仿宋" w:cs="仿宋_GB2312"/>
          <w:color w:val="auto"/>
          <w:sz w:val="32"/>
          <w:szCs w:val="32"/>
          <w:highlight w:val="none"/>
          <w:lang w:val="zh-TW" w:eastAsia="en-US"/>
        </w:rPr>
        <w:t>%+</w:t>
      </w:r>
      <w:r>
        <w:rPr>
          <w:rFonts w:hint="eastAsia" w:ascii="仿宋" w:hAnsi="仿宋" w:eastAsia="仿宋" w:cs="仿宋_GB2312"/>
          <w:color w:val="auto"/>
          <w:sz w:val="32"/>
          <w:szCs w:val="32"/>
          <w:highlight w:val="none"/>
          <w:lang w:val="en-US" w:eastAsia="zh-CN"/>
        </w:rPr>
        <w:t>电控系统综合效能分析成绩*30%+电控系统</w:t>
      </w:r>
      <w:r>
        <w:rPr>
          <w:rFonts w:hint="eastAsia" w:ascii="仿宋" w:hAnsi="仿宋" w:eastAsia="仿宋" w:cs="仿宋_GB2312"/>
          <w:color w:val="auto"/>
          <w:sz w:val="32"/>
          <w:szCs w:val="32"/>
          <w:highlight w:val="none"/>
          <w:lang w:val="en-US" w:eastAsia="zh-Hans"/>
        </w:rPr>
        <w:t>检测与排故</w:t>
      </w:r>
      <w:r>
        <w:rPr>
          <w:rFonts w:hint="eastAsia" w:ascii="仿宋" w:hAnsi="仿宋" w:eastAsia="仿宋" w:cs="仿宋_GB2312"/>
          <w:color w:val="auto"/>
          <w:sz w:val="32"/>
          <w:szCs w:val="32"/>
          <w:highlight w:val="none"/>
          <w:lang w:val="en-US" w:eastAsia="zh-CN"/>
        </w:rPr>
        <w:t>成绩*50%；</w:t>
      </w:r>
    </w:p>
    <w:p w14:paraId="77207E02">
      <w:pPr>
        <w:spacing w:line="560" w:lineRule="exact"/>
        <w:ind w:firstLine="640" w:firstLineChars="200"/>
        <w:rPr>
          <w:rFonts w:hint="eastAsia" w:ascii="仿宋" w:hAnsi="仿宋" w:eastAsia="仿宋" w:cs="仿宋_GB2312"/>
          <w:color w:val="auto"/>
          <w:sz w:val="32"/>
          <w:szCs w:val="32"/>
          <w:highlight w:val="none"/>
          <w:lang w:val="en-US" w:eastAsia="zh-CN"/>
        </w:rPr>
      </w:pPr>
      <w:r>
        <w:rPr>
          <w:rFonts w:hint="eastAsia" w:ascii="仿宋" w:hAnsi="仿宋" w:eastAsia="仿宋" w:cs="仿宋_GB2312"/>
          <w:color w:val="auto"/>
          <w:sz w:val="32"/>
          <w:szCs w:val="32"/>
          <w:highlight w:val="none"/>
          <w:lang w:val="en-US" w:eastAsia="en-US"/>
        </w:rPr>
        <w:t>团体成绩</w:t>
      </w:r>
      <w:r>
        <w:rPr>
          <w:rFonts w:hint="eastAsia" w:ascii="仿宋" w:hAnsi="仿宋" w:eastAsia="仿宋" w:cs="仿宋_GB2312"/>
          <w:color w:val="auto"/>
          <w:sz w:val="32"/>
          <w:szCs w:val="32"/>
          <w:highlight w:val="none"/>
          <w:lang w:val="en-US" w:eastAsia="zh-CN"/>
        </w:rPr>
        <w:t>=两个人</w:t>
      </w:r>
      <w:r>
        <w:rPr>
          <w:rFonts w:hint="eastAsia" w:ascii="仿宋" w:hAnsi="仿宋" w:eastAsia="仿宋" w:cs="仿宋_GB2312"/>
          <w:color w:val="auto"/>
          <w:sz w:val="32"/>
          <w:szCs w:val="32"/>
          <w:highlight w:val="none"/>
          <w:lang w:val="zh-TW" w:eastAsia="en-US"/>
        </w:rPr>
        <w:t>竞赛总成绩</w:t>
      </w:r>
      <w:r>
        <w:rPr>
          <w:rFonts w:hint="eastAsia" w:ascii="仿宋" w:hAnsi="仿宋" w:eastAsia="仿宋" w:cs="仿宋_GB2312"/>
          <w:color w:val="auto"/>
          <w:sz w:val="32"/>
          <w:szCs w:val="32"/>
          <w:highlight w:val="none"/>
          <w:lang w:val="en-US" w:eastAsia="zh-CN"/>
        </w:rPr>
        <w:t>之和</w:t>
      </w:r>
    </w:p>
    <w:p w14:paraId="4B72FA48">
      <w:pPr>
        <w:spacing w:line="560" w:lineRule="exact"/>
        <w:ind w:firstLine="640" w:firstLineChars="200"/>
        <w:rPr>
          <w:rFonts w:hint="eastAsia" w:ascii="仿宋" w:hAnsi="仿宋" w:eastAsia="仿宋" w:cs="仿宋_GB2312"/>
          <w:color w:val="auto"/>
          <w:sz w:val="32"/>
          <w:szCs w:val="32"/>
          <w:highlight w:val="none"/>
          <w:lang w:val="en-US" w:eastAsia="en-US"/>
        </w:rPr>
      </w:pPr>
      <w:r>
        <w:rPr>
          <w:rFonts w:hint="eastAsia" w:ascii="仿宋" w:hAnsi="仿宋" w:eastAsia="仿宋" w:cs="仿宋_GB2312"/>
          <w:color w:val="auto"/>
          <w:sz w:val="32"/>
          <w:szCs w:val="32"/>
          <w:highlight w:val="none"/>
          <w:lang w:val="en-US" w:eastAsia="en-US"/>
        </w:rPr>
        <w:t>若</w:t>
      </w:r>
      <w:r>
        <w:rPr>
          <w:rFonts w:hint="eastAsia" w:ascii="仿宋" w:hAnsi="仿宋" w:eastAsia="仿宋" w:cs="仿宋_GB2312"/>
          <w:color w:val="auto"/>
          <w:sz w:val="32"/>
          <w:szCs w:val="32"/>
          <w:highlight w:val="none"/>
          <w:lang w:val="en-US" w:eastAsia="zh-CN"/>
        </w:rPr>
        <w:t>团队</w:t>
      </w:r>
      <w:r>
        <w:rPr>
          <w:rFonts w:hint="eastAsia" w:ascii="仿宋" w:hAnsi="仿宋" w:eastAsia="仿宋" w:cs="仿宋_GB2312"/>
          <w:color w:val="auto"/>
          <w:sz w:val="32"/>
          <w:szCs w:val="32"/>
          <w:highlight w:val="none"/>
          <w:lang w:val="en-US" w:eastAsia="en-US"/>
        </w:rPr>
        <w:t>总成绩相同，则按照</w:t>
      </w:r>
      <w:r>
        <w:rPr>
          <w:rFonts w:hint="eastAsia" w:ascii="仿宋" w:hAnsi="仿宋" w:eastAsia="仿宋" w:cs="仿宋_GB2312"/>
          <w:color w:val="auto"/>
          <w:sz w:val="32"/>
          <w:szCs w:val="32"/>
          <w:highlight w:val="none"/>
          <w:lang w:val="en-US" w:eastAsia="zh-CN"/>
        </w:rPr>
        <w:t>团队</w:t>
      </w:r>
      <w:r>
        <w:rPr>
          <w:rFonts w:hint="eastAsia" w:ascii="仿宋" w:hAnsi="仿宋" w:eastAsia="仿宋" w:cs="仿宋_GB2312"/>
          <w:color w:val="auto"/>
          <w:sz w:val="32"/>
          <w:szCs w:val="32"/>
          <w:highlight w:val="none"/>
          <w:lang w:val="en-US" w:eastAsia="en-US"/>
        </w:rPr>
        <w:t>实操成绩高低进行排名；若实操成绩仍相同，则按</w:t>
      </w:r>
      <w:r>
        <w:rPr>
          <w:rFonts w:hint="eastAsia" w:ascii="仿宋" w:hAnsi="仿宋" w:eastAsia="仿宋" w:cs="仿宋_GB2312"/>
          <w:color w:val="auto"/>
          <w:sz w:val="32"/>
          <w:szCs w:val="32"/>
          <w:highlight w:val="none"/>
          <w:lang w:val="en-US" w:eastAsia="zh-CN"/>
        </w:rPr>
        <w:t>团队</w:t>
      </w:r>
      <w:r>
        <w:rPr>
          <w:rFonts w:hint="eastAsia" w:ascii="仿宋" w:hAnsi="仿宋" w:eastAsia="仿宋" w:cs="仿宋_GB2312"/>
          <w:color w:val="auto"/>
          <w:sz w:val="32"/>
          <w:szCs w:val="32"/>
          <w:highlight w:val="none"/>
          <w:lang w:val="en-US" w:eastAsia="en-US"/>
        </w:rPr>
        <w:t>理论考试用时长短排名，用时较短者排前；若仍相同，则按报名表排名先后顺序排序。</w:t>
      </w:r>
    </w:p>
    <w:p w14:paraId="20F6E495">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具体竞赛安排、竞赛任务、内容及分值权重见《第四届全国新能源汽车关键技术技能大赛广东省选拔赛汽车零部件装调工（汽车电动化技术方向）职业技能竞赛技术文件》（附件</w:t>
      </w:r>
      <w:bookmarkStart w:id="7" w:name="_GoBack"/>
      <w:bookmarkEnd w:id="7"/>
      <w:r>
        <w:rPr>
          <w:rFonts w:hint="eastAsia" w:ascii="仿宋" w:hAnsi="仿宋" w:eastAsia="仿宋" w:cs="仿宋"/>
          <w:color w:val="auto"/>
          <w:sz w:val="32"/>
          <w:szCs w:val="32"/>
          <w:highlight w:val="none"/>
        </w:rPr>
        <w:t>）。</w:t>
      </w:r>
    </w:p>
    <w:p w14:paraId="07A95AEB">
      <w:pPr>
        <w:numPr>
          <w:ilvl w:val="0"/>
          <w:numId w:val="1"/>
        </w:num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报到时间及地点</w:t>
      </w:r>
    </w:p>
    <w:p w14:paraId="7201BCB3">
      <w:pPr>
        <w:pStyle w:val="4"/>
        <w:numPr>
          <w:ilvl w:val="0"/>
          <w:numId w:val="2"/>
        </w:numPr>
        <w:ind w:firstLine="640" w:firstLineChars="200"/>
        <w:rPr>
          <w:rFonts w:ascii="仿宋" w:hAnsi="仿宋" w:eastAsia="仿宋" w:cs="仿宋"/>
          <w:color w:val="auto"/>
          <w:highlight w:val="none"/>
        </w:rPr>
      </w:pPr>
      <w:r>
        <w:rPr>
          <w:rFonts w:hint="eastAsia" w:ascii="仿宋" w:hAnsi="仿宋" w:eastAsia="仿宋" w:cs="仿宋"/>
          <w:color w:val="auto"/>
          <w:highlight w:val="none"/>
        </w:rPr>
        <w:t>报到时间：2024年10月11日11:00-14:00</w:t>
      </w:r>
    </w:p>
    <w:p w14:paraId="5E05586E">
      <w:pPr>
        <w:pStyle w:val="4"/>
        <w:numPr>
          <w:ilvl w:val="0"/>
          <w:numId w:val="2"/>
        </w:numPr>
        <w:ind w:firstLine="640" w:firstLineChars="200"/>
        <w:rPr>
          <w:rFonts w:ascii="仿宋" w:hAnsi="仿宋" w:eastAsia="仿宋" w:cs="仿宋"/>
          <w:color w:val="auto"/>
          <w:highlight w:val="none"/>
        </w:rPr>
      </w:pPr>
      <w:r>
        <w:rPr>
          <w:rFonts w:hint="eastAsia" w:ascii="仿宋" w:hAnsi="仿宋" w:eastAsia="仿宋" w:cs="仿宋"/>
          <w:color w:val="auto"/>
          <w:highlight w:val="none"/>
        </w:rPr>
        <w:t>报到地点：广东省广州市增城区朱村街朱村大道西80号虞腾酒店（原嘉腾大酒店）</w:t>
      </w:r>
    </w:p>
    <w:p w14:paraId="0641E989">
      <w:pPr>
        <w:numPr>
          <w:ilvl w:val="0"/>
          <w:numId w:val="1"/>
        </w:num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竞赛时间及地点</w:t>
      </w:r>
    </w:p>
    <w:p w14:paraId="21FB608B">
      <w:pPr>
        <w:pStyle w:val="4"/>
        <w:ind w:firstLine="640" w:firstLineChars="200"/>
        <w:rPr>
          <w:rFonts w:ascii="仿宋" w:hAnsi="仿宋" w:eastAsia="仿宋" w:cs="宋体"/>
          <w:color w:val="auto"/>
          <w:kern w:val="0"/>
          <w:szCs w:val="32"/>
          <w:highlight w:val="none"/>
        </w:rPr>
      </w:pPr>
      <w:r>
        <w:rPr>
          <w:rFonts w:hint="eastAsia" w:ascii="仿宋" w:hAnsi="仿宋" w:eastAsia="仿宋" w:cs="仿宋"/>
          <w:color w:val="auto"/>
          <w:highlight w:val="none"/>
        </w:rPr>
        <w:t>1.竞赛时间：</w:t>
      </w:r>
      <w:r>
        <w:rPr>
          <w:rFonts w:hint="eastAsia" w:ascii="仿宋" w:hAnsi="仿宋" w:eastAsia="仿宋" w:cs="宋体"/>
          <w:color w:val="auto"/>
          <w:kern w:val="0"/>
          <w:szCs w:val="32"/>
          <w:highlight w:val="none"/>
        </w:rPr>
        <w:t>2024年10月11日下午-13日</w:t>
      </w:r>
    </w:p>
    <w:p w14:paraId="003C8205">
      <w:pPr>
        <w:pStyle w:val="4"/>
        <w:ind w:firstLine="640" w:firstLineChars="200"/>
        <w:rPr>
          <w:rFonts w:ascii="仿宋" w:hAnsi="仿宋" w:eastAsia="仿宋" w:cs="仿宋"/>
          <w:color w:val="auto"/>
          <w:kern w:val="0"/>
          <w:sz w:val="31"/>
          <w:szCs w:val="31"/>
          <w:highlight w:val="none"/>
          <w:lang w:bidi="ar"/>
        </w:rPr>
      </w:pPr>
      <w:r>
        <w:rPr>
          <w:rFonts w:hint="eastAsia" w:ascii="仿宋" w:hAnsi="仿宋" w:eastAsia="仿宋" w:cs="仿宋"/>
          <w:color w:val="auto"/>
          <w:highlight w:val="none"/>
        </w:rPr>
        <w:t>2.竞赛地点：</w:t>
      </w:r>
      <w:bookmarkStart w:id="3" w:name="_Toc5338_WPSOffice_Level1"/>
      <w:r>
        <w:rPr>
          <w:rFonts w:hint="eastAsia" w:ascii="仿宋" w:hAnsi="仿宋" w:eastAsia="仿宋" w:cs="宋体"/>
          <w:color w:val="auto"/>
          <w:kern w:val="0"/>
          <w:szCs w:val="32"/>
          <w:highlight w:val="none"/>
        </w:rPr>
        <w:t>广州市交通技师学院科教城校区</w:t>
      </w:r>
      <w:r>
        <w:rPr>
          <w:rFonts w:hint="eastAsia" w:ascii="仿宋" w:hAnsi="仿宋" w:eastAsia="仿宋" w:cs="仿宋"/>
          <w:color w:val="auto"/>
          <w:kern w:val="0"/>
          <w:sz w:val="31"/>
          <w:szCs w:val="31"/>
          <w:highlight w:val="none"/>
          <w:lang w:bidi="ar"/>
        </w:rPr>
        <w:t>（广州市增城区科教城科教大道136号）。</w:t>
      </w:r>
    </w:p>
    <w:p w14:paraId="6DBA05FC">
      <w:pPr>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四、参赛资格与竞赛报名</w:t>
      </w:r>
      <w:bookmarkEnd w:id="3"/>
    </w:p>
    <w:p w14:paraId="44C57CB5">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（一）参赛资格</w:t>
      </w:r>
    </w:p>
    <w:p w14:paraId="0FDD346F">
      <w:pPr>
        <w:spacing w:line="360" w:lineRule="auto"/>
        <w:ind w:right="11"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1.从事新能源汽车关键技术应用相关工作的企业职工，各类院校制造类、汽车类相关专业的一线教职工，在本单位已缴纳2个月以上社保的，可报名参加职工组竞赛。各类院校全日制在籍学生可报名参加学生组竞赛。</w:t>
      </w:r>
    </w:p>
    <w:p w14:paraId="22B81CFF">
      <w:pPr>
        <w:spacing w:line="360" w:lineRule="auto"/>
        <w:ind w:right="11"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2.已获得“中华技能大奖”“全国技术能手”称号及申报资格的人员，不得以选手身份参赛。</w:t>
      </w:r>
    </w:p>
    <w:p w14:paraId="663AA7E4">
      <w:pPr>
        <w:spacing w:line="360" w:lineRule="auto"/>
        <w:ind w:right="11"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3.院校在职一线教职工不得以企业职工或企业兼职职工身份参赛；企业在职职工不得以院校一线教职工或兼职一线教职工身份参赛；具有全日制学籍的在校创业学生不以企业职工或院校一线教职工身份参赛。</w:t>
      </w:r>
    </w:p>
    <w:p w14:paraId="52B97B8B">
      <w:pPr>
        <w:spacing w:line="360" w:lineRule="auto"/>
        <w:ind w:right="11"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 xml:space="preserve">4.报名参赛人员应具备良好的政治素质和职业素养，爱岗敬业， 愿为建设制造强国、人才强国贡献力量，自觉遵守选拔赛的有关制度规定。 </w:t>
      </w:r>
    </w:p>
    <w:p w14:paraId="7CBA3A31">
      <w:pPr>
        <w:spacing w:line="360" w:lineRule="auto"/>
        <w:ind w:right="11"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 xml:space="preserve">5.参赛不允许跨单位、跨院校组队。 </w:t>
      </w:r>
    </w:p>
    <w:p w14:paraId="2353EE45">
      <w:pPr>
        <w:spacing w:line="360" w:lineRule="auto"/>
        <w:ind w:right="11"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（二）竞赛报名及参赛方式</w:t>
      </w:r>
    </w:p>
    <w:p w14:paraId="42270CAA">
      <w:pPr>
        <w:pStyle w:val="5"/>
        <w:spacing w:line="560" w:lineRule="exact"/>
        <w:ind w:firstLine="960" w:firstLineChars="3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1.截止日期：2024年10月8日（星期二）。 </w:t>
      </w:r>
    </w:p>
    <w:p w14:paraId="1599F825">
      <w:pPr>
        <w:pStyle w:val="5"/>
        <w:spacing w:line="560" w:lineRule="exact"/>
        <w:ind w:left="319" w:leftChars="152"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报名人数：每个参赛单位可报1名领队。职工组每个法人单位限报2组（4人）选手参加比赛，每个参赛组可报1名指导教师，最多报2名指导教师；学生组每个院校可报2组（4人）参加比赛，每个参赛组可报1名指导教师，最多报2名指导教师。</w:t>
      </w:r>
    </w:p>
    <w:p w14:paraId="7DAD4057">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3.报名需提交资料 </w:t>
      </w:r>
    </w:p>
    <w:p w14:paraId="06002F65">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1）《第四届全国新能源汽车关键技术技能大赛广东省选拔赛选手报名表》（见附件2）1份，《第四届全国新能源汽车关键技术技能大赛广东省选拔赛选手单位汇总表》（见附件4）1份，须经选手所在单位批准同意并加盖公章； </w:t>
      </w:r>
    </w:p>
    <w:p w14:paraId="67ACCA02">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（2）所有选手必须提交有效期内身份证（正反面）复印件（加盖单位公章）,学生组提供选手学籍证明</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职工组其中</w:t>
      </w:r>
      <w:r>
        <w:rPr>
          <w:rFonts w:hint="eastAsia" w:ascii="仿宋" w:hAnsi="仿宋" w:eastAsia="仿宋" w:cs="仿宋"/>
          <w:color w:val="auto"/>
          <w:sz w:val="32"/>
          <w:szCs w:val="32"/>
          <w:highlight w:val="none"/>
        </w:rPr>
        <w:t>教师选手</w:t>
      </w:r>
      <w:r>
        <w:rPr>
          <w:rFonts w:hint="eastAsia" w:ascii="仿宋" w:hAnsi="仿宋" w:eastAsia="仿宋" w:cs="仿宋"/>
          <w:color w:val="auto"/>
          <w:sz w:val="32"/>
          <w:szCs w:val="32"/>
          <w:highlight w:val="none"/>
          <w:lang w:val="en-US" w:eastAsia="zh-CN"/>
        </w:rPr>
        <w:t>需</w:t>
      </w:r>
      <w:r>
        <w:rPr>
          <w:rFonts w:hint="eastAsia" w:ascii="仿宋" w:hAnsi="仿宋" w:eastAsia="仿宋" w:cs="仿宋"/>
          <w:color w:val="auto"/>
          <w:sz w:val="32"/>
          <w:szCs w:val="32"/>
          <w:highlight w:val="none"/>
        </w:rPr>
        <w:t>提供教师资格证或教师上岗资格证</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全部</w:t>
      </w:r>
      <w:r>
        <w:rPr>
          <w:rFonts w:hint="eastAsia" w:ascii="仿宋" w:hAnsi="仿宋" w:eastAsia="仿宋" w:cs="仿宋"/>
          <w:color w:val="auto"/>
          <w:sz w:val="32"/>
          <w:szCs w:val="32"/>
          <w:highlight w:val="none"/>
        </w:rPr>
        <w:t xml:space="preserve">选手身份证在选手检录时提交原件查验； </w:t>
      </w:r>
    </w:p>
    <w:p w14:paraId="11A77559">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（3）大一寸白底彩色电子版照片，照片文件名称以姓名+身份证号码命名，如有字母必须大写（照片大小为 40KB 以内，390 像素（宽）×567像素（高），分辨率不低于 300dpi，jpg 格式，24 位RGB真彩色）。 </w:t>
      </w:r>
    </w:p>
    <w:p w14:paraId="50656FB2">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4.资料提交方式 </w:t>
      </w:r>
    </w:p>
    <w:p w14:paraId="76653F59">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各参赛选手将附件2、4 Word 电子版及盖章扫描版、选手身份证扫描电子版、学生选手学籍证明、教师选手教师资格证或教师上岗资格证、社保证明、电子照片于2024年10月8日前发送到电子邮箱：yujh@gzjtjx.com（邮件名称注明：参赛单位全称+参赛选手姓名），联系人：范倩怡，电话13538971246、余景鸿，电话13660692206。</w:t>
      </w:r>
    </w:p>
    <w:p w14:paraId="7C13E31C">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5.选手资格审核</w:t>
      </w:r>
    </w:p>
    <w:p w14:paraId="05EABEAE">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参赛选手资格的初审由先送单位负责，组委会办公室复审后办理参赛</w:t>
      </w:r>
      <w:r>
        <w:rPr>
          <w:rFonts w:hint="eastAsia" w:ascii="仿宋" w:hAnsi="仿宋" w:eastAsia="仿宋" w:cs="仿宋"/>
          <w:color w:val="auto"/>
          <w:sz w:val="32"/>
          <w:szCs w:val="32"/>
          <w:highlight w:val="none"/>
          <w:lang w:val="en-US" w:eastAsia="zh-CN"/>
        </w:rPr>
        <w:t>胸牌</w:t>
      </w:r>
      <w:r>
        <w:rPr>
          <w:rFonts w:hint="eastAsia" w:ascii="仿宋" w:hAnsi="仿宋" w:eastAsia="仿宋" w:cs="仿宋"/>
          <w:color w:val="auto"/>
          <w:sz w:val="32"/>
          <w:szCs w:val="32"/>
          <w:highlight w:val="none"/>
        </w:rPr>
        <w:t>。参赛选手符合资格要求，现</w:t>
      </w:r>
      <w:r>
        <w:rPr>
          <w:rFonts w:hint="eastAsia" w:ascii="仿宋" w:hAnsi="仿宋" w:eastAsia="仿宋" w:cs="仿宋"/>
          <w:color w:val="auto"/>
          <w:sz w:val="32"/>
          <w:szCs w:val="32"/>
          <w:highlight w:val="none"/>
          <w:lang w:val="en-US" w:eastAsia="zh-CN"/>
        </w:rPr>
        <w:t>场</w:t>
      </w:r>
      <w:r>
        <w:rPr>
          <w:rFonts w:hint="eastAsia" w:ascii="仿宋" w:hAnsi="仿宋" w:eastAsia="仿宋" w:cs="仿宋"/>
          <w:color w:val="auto"/>
          <w:sz w:val="32"/>
          <w:szCs w:val="32"/>
          <w:highlight w:val="none"/>
        </w:rPr>
        <w:t>报到时提供身份证原件检验。</w:t>
      </w:r>
    </w:p>
    <w:p w14:paraId="30304D93">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（三）裁判团队组建方式</w:t>
      </w:r>
    </w:p>
    <w:p w14:paraId="6723CB7D">
      <w:pPr>
        <w:pStyle w:val="5"/>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大赛设裁判长1名，负责整个比赛的评判组织和监督工作。竞赛组委会根据报名情况综合选定裁判，组建裁判团队。裁判长由竞赛组委会研究决定。</w:t>
      </w:r>
    </w:p>
    <w:p w14:paraId="4565B628">
      <w:pPr>
        <w:pStyle w:val="3"/>
        <w:ind w:left="0" w:firstLine="64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各单位选派选手参赛均可推荐1名裁判员</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见附件3</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，没有选手参赛的项目不推荐。裁判员推荐数量如出现不足的，可视情况增加推荐。</w:t>
      </w:r>
    </w:p>
    <w:p w14:paraId="08EFC2B4">
      <w:pPr>
        <w:numPr>
          <w:ilvl w:val="0"/>
          <w:numId w:val="3"/>
        </w:numPr>
        <w:ind w:firstLine="640" w:firstLineChars="200"/>
        <w:rPr>
          <w:rFonts w:ascii="黑体" w:hAnsi="黑体" w:eastAsia="黑体" w:cs="黑体"/>
          <w:color w:val="auto"/>
          <w:sz w:val="32"/>
          <w:szCs w:val="32"/>
          <w:highlight w:val="none"/>
        </w:rPr>
      </w:pPr>
      <w:bookmarkStart w:id="4" w:name="_Toc28492_WPSOffice_Level1"/>
      <w:r>
        <w:rPr>
          <w:rFonts w:hint="eastAsia" w:ascii="黑体" w:hAnsi="黑体" w:eastAsia="黑体" w:cs="黑体"/>
          <w:color w:val="auto"/>
          <w:sz w:val="32"/>
          <w:szCs w:val="32"/>
          <w:highlight w:val="none"/>
        </w:rPr>
        <w:t>竞赛奖励</w:t>
      </w:r>
      <w:bookmarkEnd w:id="4"/>
    </w:p>
    <w:p w14:paraId="65F40C7E">
      <w:pPr>
        <w:pStyle w:val="3"/>
        <w:ind w:left="0" w:firstLine="64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按照广东省机械行业协会《关于做好第四届全国新能源汽车关键技术技能大赛广东省选拔赛的通知》执行。</w:t>
      </w:r>
    </w:p>
    <w:p w14:paraId="78559919">
      <w:pPr>
        <w:numPr>
          <w:ilvl w:val="0"/>
          <w:numId w:val="3"/>
        </w:numPr>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选拔结果</w:t>
      </w:r>
    </w:p>
    <w:p w14:paraId="14BE689C">
      <w:pPr>
        <w:pStyle w:val="3"/>
        <w:ind w:left="0" w:firstLine="64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根据全国大赛组委会分配给我省各项目、各组别的具体名额和要求，按本次省选拔赛名次顺序选派选手，代表广东参加全国赛。</w:t>
      </w:r>
    </w:p>
    <w:p w14:paraId="00704435">
      <w:pPr>
        <w:pStyle w:val="13"/>
        <w:ind w:firstLine="640"/>
        <w:rPr>
          <w:rFonts w:hint="default" w:cs="黑体"/>
          <w:color w:val="auto"/>
          <w:kern w:val="2"/>
          <w:highlight w:val="none"/>
          <w:lang w:val="en-US"/>
        </w:rPr>
      </w:pPr>
      <w:bookmarkStart w:id="5" w:name="_Toc10971_WPSOffice_Level1"/>
      <w:r>
        <w:rPr>
          <w:rFonts w:cs="黑体"/>
          <w:color w:val="auto"/>
          <w:kern w:val="2"/>
          <w:highlight w:val="none"/>
          <w:lang w:val="en-US"/>
        </w:rPr>
        <w:t>七、竞赛规则</w:t>
      </w:r>
    </w:p>
    <w:p w14:paraId="750CF844">
      <w:pPr>
        <w:pStyle w:val="11"/>
        <w:ind w:firstLine="640"/>
        <w:rPr>
          <w:rFonts w:hint="default" w:ascii="仿宋" w:hAnsi="仿宋" w:eastAsia="仿宋"/>
          <w:color w:val="auto"/>
          <w:highlight w:val="none"/>
        </w:rPr>
      </w:pPr>
      <w:r>
        <w:rPr>
          <w:rFonts w:ascii="仿宋" w:hAnsi="仿宋" w:eastAsia="仿宋"/>
          <w:color w:val="auto"/>
          <w:highlight w:val="none"/>
        </w:rPr>
        <w:t>（一）选手须知</w:t>
      </w:r>
    </w:p>
    <w:p w14:paraId="02F5D485">
      <w:pPr>
        <w:pStyle w:val="10"/>
        <w:ind w:firstLine="640"/>
        <w:rPr>
          <w:rFonts w:hint="default" w:cs="仿宋"/>
          <w:color w:val="auto"/>
          <w:highlight w:val="none"/>
        </w:rPr>
      </w:pPr>
      <w:r>
        <w:rPr>
          <w:rFonts w:cs="仿宋"/>
          <w:color w:val="auto"/>
          <w:highlight w:val="none"/>
        </w:rPr>
        <w:t>1.参赛选手提前10分钟进考场。入考场前，由监考人员查验身份证、选手证，经认可后方可进入考场。</w:t>
      </w:r>
    </w:p>
    <w:p w14:paraId="144923B9">
      <w:pPr>
        <w:pStyle w:val="10"/>
        <w:ind w:firstLine="640"/>
        <w:rPr>
          <w:rFonts w:hint="default" w:cs="仿宋"/>
          <w:color w:val="auto"/>
          <w:highlight w:val="none"/>
        </w:rPr>
      </w:pPr>
      <w:r>
        <w:rPr>
          <w:rFonts w:cs="仿宋"/>
          <w:color w:val="auto"/>
          <w:highlight w:val="none"/>
        </w:rPr>
        <w:t>2.参赛选手应按指定座位号入座。入座后将身份证、选手证放在桌面右上角，以便监考人员查验。</w:t>
      </w:r>
    </w:p>
    <w:p w14:paraId="7734D4B9">
      <w:pPr>
        <w:pStyle w:val="10"/>
        <w:ind w:firstLine="640"/>
        <w:rPr>
          <w:rFonts w:hint="default" w:cs="仿宋"/>
          <w:color w:val="auto"/>
          <w:highlight w:val="none"/>
        </w:rPr>
      </w:pPr>
      <w:r>
        <w:rPr>
          <w:rFonts w:cs="仿宋"/>
          <w:color w:val="auto"/>
          <w:highlight w:val="none"/>
        </w:rPr>
        <w:t>3.理论考试采用</w:t>
      </w:r>
      <w:r>
        <w:rPr>
          <w:rFonts w:hint="eastAsia" w:cs="仿宋"/>
          <w:color w:val="auto"/>
          <w:highlight w:val="none"/>
          <w:lang w:val="en-US" w:eastAsia="zh-CN"/>
        </w:rPr>
        <w:t>纸质</w:t>
      </w:r>
      <w:r>
        <w:rPr>
          <w:rFonts w:cs="仿宋"/>
          <w:color w:val="auto"/>
          <w:highlight w:val="none"/>
        </w:rPr>
        <w:t>、闭卷方式。除考试用具外（计算器不得有储存文字功能），选手不得携带其他与考试有关的资料（包括手机、智能手表）进入考场，违反者取消竞赛资格。</w:t>
      </w:r>
    </w:p>
    <w:p w14:paraId="4CD67585">
      <w:pPr>
        <w:pStyle w:val="10"/>
        <w:ind w:firstLine="640"/>
        <w:rPr>
          <w:rFonts w:hint="default" w:cs="仿宋"/>
          <w:color w:val="auto"/>
          <w:highlight w:val="none"/>
        </w:rPr>
      </w:pPr>
      <w:r>
        <w:rPr>
          <w:rFonts w:cs="仿宋"/>
          <w:color w:val="auto"/>
          <w:highlight w:val="none"/>
        </w:rPr>
        <w:t>4.正式开考后迟到15分钟者，一律按自动弃权处理。开考30分钟后方允许离开考场，但不得在考场周围高声谈论、逗留。</w:t>
      </w:r>
    </w:p>
    <w:p w14:paraId="1AA91097">
      <w:pPr>
        <w:pStyle w:val="10"/>
        <w:ind w:firstLine="640"/>
        <w:rPr>
          <w:rFonts w:hint="default" w:cs="仿宋"/>
          <w:color w:val="auto"/>
          <w:highlight w:val="none"/>
        </w:rPr>
      </w:pPr>
      <w:r>
        <w:rPr>
          <w:rFonts w:cs="仿宋"/>
          <w:color w:val="auto"/>
          <w:highlight w:val="none"/>
        </w:rPr>
        <w:t>5.参赛选手应自觉遵守考场纪律，服从监考人员指挥。考场内严禁吸烟，违反者取消竞赛资格。</w:t>
      </w:r>
    </w:p>
    <w:p w14:paraId="3825D302">
      <w:pPr>
        <w:pStyle w:val="10"/>
        <w:ind w:firstLine="640"/>
        <w:rPr>
          <w:rFonts w:hint="default" w:cs="仿宋"/>
          <w:color w:val="auto"/>
          <w:highlight w:val="none"/>
        </w:rPr>
      </w:pPr>
      <w:r>
        <w:rPr>
          <w:rFonts w:cs="仿宋"/>
          <w:color w:val="auto"/>
          <w:highlight w:val="none"/>
        </w:rPr>
        <w:t>6.竞赛过程中有问题时，可向监考人员举手示意，由监考人员负责处理。监考人员对涉及考题的问题不得有任何解释和暗示行为。</w:t>
      </w:r>
    </w:p>
    <w:p w14:paraId="3E526CA0">
      <w:pPr>
        <w:pStyle w:val="10"/>
        <w:ind w:firstLine="640"/>
        <w:rPr>
          <w:rFonts w:hint="default" w:cs="仿宋"/>
          <w:color w:val="auto"/>
          <w:highlight w:val="none"/>
        </w:rPr>
      </w:pPr>
      <w:r>
        <w:rPr>
          <w:rFonts w:cs="仿宋"/>
          <w:color w:val="auto"/>
          <w:highlight w:val="none"/>
        </w:rPr>
        <w:t>7.考场中除指定监考人员外，未经竞赛组委会允许的其他人员不得入内。</w:t>
      </w:r>
    </w:p>
    <w:p w14:paraId="0BEBC246">
      <w:pPr>
        <w:pStyle w:val="10"/>
        <w:ind w:firstLine="640"/>
        <w:rPr>
          <w:rFonts w:hint="default" w:cs="仿宋"/>
          <w:color w:val="auto"/>
          <w:highlight w:val="none"/>
        </w:rPr>
      </w:pPr>
      <w:r>
        <w:rPr>
          <w:rFonts w:cs="仿宋"/>
          <w:color w:val="auto"/>
          <w:highlight w:val="none"/>
        </w:rPr>
        <w:t>8.当听到竞赛结束命令时，参赛选手应立即停止操作或答题，不得以任何理由拖延竞赛时间。离开竞赛场地时，不得将草稿纸等与竞赛无关的物品带离现场。</w:t>
      </w:r>
    </w:p>
    <w:p w14:paraId="0CCADA26">
      <w:pPr>
        <w:pStyle w:val="10"/>
        <w:ind w:firstLine="640"/>
        <w:rPr>
          <w:rFonts w:hint="default" w:cs="仿宋"/>
          <w:color w:val="auto"/>
          <w:highlight w:val="none"/>
        </w:rPr>
      </w:pPr>
      <w:r>
        <w:rPr>
          <w:rFonts w:cs="仿宋"/>
          <w:color w:val="auto"/>
          <w:highlight w:val="none"/>
        </w:rPr>
        <w:t>9.如参赛选手在竞赛期间出现身体不适或意外事故时，应第一时间报告现场工作人员，同时采取相应措施。</w:t>
      </w:r>
    </w:p>
    <w:p w14:paraId="00AC1733">
      <w:pPr>
        <w:pStyle w:val="11"/>
        <w:ind w:firstLine="640"/>
        <w:rPr>
          <w:rFonts w:hint="default" w:ascii="仿宋" w:hAnsi="仿宋" w:eastAsia="仿宋"/>
          <w:color w:val="auto"/>
          <w:highlight w:val="none"/>
        </w:rPr>
      </w:pPr>
      <w:r>
        <w:rPr>
          <w:rFonts w:ascii="仿宋" w:hAnsi="仿宋" w:eastAsia="仿宋"/>
          <w:color w:val="auto"/>
          <w:highlight w:val="none"/>
        </w:rPr>
        <w:t>（二）赛场规则</w:t>
      </w:r>
    </w:p>
    <w:p w14:paraId="6BE96EB8">
      <w:pPr>
        <w:pStyle w:val="10"/>
        <w:ind w:firstLine="640"/>
        <w:rPr>
          <w:rFonts w:hint="default" w:cs="仿宋"/>
          <w:color w:val="auto"/>
          <w:highlight w:val="none"/>
        </w:rPr>
      </w:pPr>
      <w:r>
        <w:rPr>
          <w:rFonts w:cs="仿宋"/>
          <w:color w:val="auto"/>
          <w:highlight w:val="none"/>
        </w:rPr>
        <w:t>1.赛务人员须统一佩戴竞赛工作证件，统一着装。</w:t>
      </w:r>
    </w:p>
    <w:p w14:paraId="571CB0A5">
      <w:pPr>
        <w:pStyle w:val="10"/>
        <w:ind w:firstLine="640"/>
        <w:rPr>
          <w:rFonts w:hint="default" w:cs="仿宋"/>
          <w:color w:val="auto"/>
          <w:highlight w:val="none"/>
        </w:rPr>
      </w:pPr>
      <w:r>
        <w:rPr>
          <w:rFonts w:cs="仿宋"/>
          <w:color w:val="auto"/>
          <w:highlight w:val="none"/>
        </w:rPr>
        <w:t>2.竞赛现场除现场裁判、安全巡视和赛场配备的工作人员以外，其他人员未经允许不得进入赛场。</w:t>
      </w:r>
    </w:p>
    <w:p w14:paraId="73C8DCF0">
      <w:pPr>
        <w:pStyle w:val="13"/>
        <w:ind w:firstLine="640"/>
        <w:rPr>
          <w:rFonts w:hint="default" w:cs="黑体"/>
          <w:color w:val="auto"/>
          <w:kern w:val="2"/>
          <w:highlight w:val="none"/>
          <w:lang w:val="en-US"/>
        </w:rPr>
      </w:pPr>
      <w:bookmarkStart w:id="6" w:name="_Toc172023771"/>
      <w:r>
        <w:rPr>
          <w:rFonts w:cs="黑体"/>
          <w:color w:val="auto"/>
          <w:kern w:val="2"/>
          <w:highlight w:val="none"/>
          <w:lang w:val="en-US"/>
        </w:rPr>
        <w:t>八、申诉与仲裁</w:t>
      </w:r>
      <w:bookmarkEnd w:id="6"/>
    </w:p>
    <w:p w14:paraId="0F9036D1">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本赛项在竞赛过程中若出现有失公正或有关人员违规等现象，各代表队领队可在当日竞赛结束后2小时之内向仲裁组提出书面申诉。大赛组委会选派人员参加监督仲裁工作，仲裁组在接到申诉后的2小时内组织复议，并及时反馈仲裁结果，仲裁结果为最终结果。</w:t>
      </w:r>
    </w:p>
    <w:p w14:paraId="28F5D354">
      <w:pPr>
        <w:pStyle w:val="13"/>
        <w:ind w:firstLine="640"/>
        <w:rPr>
          <w:rFonts w:hint="default" w:cs="黑体"/>
          <w:color w:val="auto"/>
          <w:kern w:val="2"/>
          <w:highlight w:val="none"/>
          <w:lang w:val="en-US"/>
        </w:rPr>
      </w:pPr>
      <w:r>
        <w:rPr>
          <w:rFonts w:cs="黑体"/>
          <w:color w:val="auto"/>
          <w:kern w:val="2"/>
          <w:highlight w:val="none"/>
          <w:lang w:val="en-US"/>
        </w:rPr>
        <w:t>九、其他</w:t>
      </w:r>
    </w:p>
    <w:p w14:paraId="2532D7EB">
      <w:pPr>
        <w:pStyle w:val="13"/>
        <w:ind w:firstLine="640"/>
        <w:rPr>
          <w:rFonts w:hint="default" w:ascii="仿宋" w:hAnsi="仿宋" w:eastAsia="FangSong_GB2312" w:cs="仿宋"/>
          <w:color w:val="auto"/>
          <w:kern w:val="2"/>
          <w:highlight w:val="none"/>
          <w:lang w:val="en-US"/>
        </w:rPr>
      </w:pPr>
      <w:r>
        <w:rPr>
          <w:rFonts w:ascii="仿宋" w:hAnsi="仿宋" w:eastAsia="仿宋" w:cs="仿宋"/>
          <w:color w:val="auto"/>
          <w:kern w:val="2"/>
          <w:highlight w:val="none"/>
          <w:lang w:val="en-US"/>
        </w:rPr>
        <w:t>（一）根据《关于做好我省职业技能竞赛安全管理工作的通知》的要求，参赛</w:t>
      </w:r>
      <w:r>
        <w:rPr>
          <w:rFonts w:ascii="FangSong_GB2312" w:hAnsi="FangSong_GB2312" w:eastAsia="FangSong_GB2312" w:cs="FangSong_GB2312"/>
          <w:color w:val="auto"/>
          <w:sz w:val="31"/>
          <w:szCs w:val="31"/>
          <w:highlight w:val="none"/>
        </w:rPr>
        <w:t>单位要做好参赛选手等人员的人身意外伤害保险购买工作，</w:t>
      </w:r>
      <w:r>
        <w:rPr>
          <w:rFonts w:ascii="FangSong_GB2312" w:hAnsi="FangSong_GB2312" w:eastAsia="FangSong_GB2312" w:cs="FangSong_GB2312"/>
          <w:color w:val="auto"/>
          <w:sz w:val="31"/>
          <w:szCs w:val="31"/>
          <w:highlight w:val="none"/>
          <w:lang w:val="en-US"/>
        </w:rPr>
        <w:t>并将相关购买证明同报名资料一起提交。</w:t>
      </w:r>
    </w:p>
    <w:p w14:paraId="1F309C46">
      <w:pPr>
        <w:pStyle w:val="10"/>
        <w:ind w:firstLine="640"/>
        <w:rPr>
          <w:rFonts w:hint="default" w:eastAsiaTheme="minorEastAsia"/>
          <w:color w:val="auto"/>
          <w:highlight w:val="none"/>
        </w:rPr>
      </w:pPr>
      <w:r>
        <w:rPr>
          <w:rFonts w:cs="仿宋"/>
          <w:color w:val="auto"/>
          <w:highlight w:val="none"/>
        </w:rPr>
        <w:t>（</w:t>
      </w:r>
      <w:r>
        <w:rPr>
          <w:rFonts w:cs="仿宋"/>
          <w:color w:val="auto"/>
          <w:highlight w:val="none"/>
          <w:lang w:val="en-US"/>
        </w:rPr>
        <w:t>二</w:t>
      </w:r>
      <w:r>
        <w:rPr>
          <w:rFonts w:cs="仿宋"/>
          <w:color w:val="auto"/>
          <w:highlight w:val="none"/>
        </w:rPr>
        <w:t>）本大赛实施方案的最终解释权归竞赛组委会。未尽事宜由竞赛组委会另行通知。</w:t>
      </w:r>
      <w:bookmarkEnd w:id="5"/>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FangSong_GB2312">
    <w:altName w:val="仿宋_GB2312"/>
    <w:panose1 w:val="020B0604020202020204"/>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073842"/>
    <w:multiLevelType w:val="singleLevel"/>
    <w:tmpl w:val="A9073842"/>
    <w:lvl w:ilvl="0" w:tentative="0">
      <w:start w:val="1"/>
      <w:numFmt w:val="decimal"/>
      <w:lvlText w:val="%1."/>
      <w:lvlJc w:val="left"/>
      <w:pPr>
        <w:tabs>
          <w:tab w:val="left" w:pos="312"/>
        </w:tabs>
      </w:pPr>
    </w:lvl>
  </w:abstractNum>
  <w:abstractNum w:abstractNumId="1">
    <w:nsid w:val="B28B901A"/>
    <w:multiLevelType w:val="singleLevel"/>
    <w:tmpl w:val="B28B901A"/>
    <w:lvl w:ilvl="0" w:tentative="0">
      <w:start w:val="3"/>
      <w:numFmt w:val="chineseCounting"/>
      <w:suff w:val="nothing"/>
      <w:lvlText w:val="（%1）"/>
      <w:lvlJc w:val="left"/>
      <w:rPr>
        <w:rFonts w:hint="eastAsia"/>
      </w:rPr>
    </w:lvl>
  </w:abstractNum>
  <w:abstractNum w:abstractNumId="2">
    <w:nsid w:val="EEA42ED8"/>
    <w:multiLevelType w:val="singleLevel"/>
    <w:tmpl w:val="EEA42ED8"/>
    <w:lvl w:ilvl="0" w:tentative="0">
      <w:start w:val="5"/>
      <w:numFmt w:val="chineseCounting"/>
      <w:suff w:val="nothing"/>
      <w:lvlText w:val="%1、"/>
      <w:lvlJc w:val="left"/>
      <w:rPr>
        <w:rFonts w:hint="eastAsia"/>
      </w:r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